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66955" w14:textId="77777777" w:rsidR="00026EAF" w:rsidRDefault="00026EAF">
      <w:pPr>
        <w:pStyle w:val="BodyText"/>
        <w:ind w:left="0"/>
        <w:rPr>
          <w:rFonts w:ascii="Times New Roman"/>
          <w:sz w:val="22"/>
        </w:rPr>
      </w:pPr>
    </w:p>
    <w:p w14:paraId="51066956" w14:textId="77777777" w:rsidR="00026EAF" w:rsidRDefault="00895C99">
      <w:pPr>
        <w:pStyle w:val="BodyText"/>
        <w:spacing w:before="133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066971" wp14:editId="51066972">
            <wp:simplePos x="0" y="0"/>
            <wp:positionH relativeFrom="page">
              <wp:posOffset>576326</wp:posOffset>
            </wp:positionH>
            <wp:positionV relativeFrom="paragraph">
              <wp:posOffset>84352</wp:posOffset>
            </wp:positionV>
            <wp:extent cx="935685" cy="36850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685" cy="3685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Blackbilly wine is produced using the famous vineyards of McLaren Vale known for wines of</w:t>
      </w:r>
    </w:p>
    <w:p w14:paraId="51066957" w14:textId="77777777" w:rsidR="00026EAF" w:rsidRDefault="00895C99">
      <w:pPr>
        <w:pStyle w:val="BodyText"/>
        <w:spacing w:before="2"/>
      </w:pPr>
      <w:r>
        <w:t>richness and diversity. Using modern and traditional winemaking techniques we craft wines of exceptional value and flavour for drinking and enjoyment.</w:t>
      </w:r>
    </w:p>
    <w:p w14:paraId="51066958" w14:textId="77777777" w:rsidR="00026EAF" w:rsidRDefault="00026EAF">
      <w:pPr>
        <w:pStyle w:val="BodyText"/>
        <w:spacing w:before="11"/>
        <w:ind w:left="0"/>
        <w:rPr>
          <w:sz w:val="19"/>
        </w:rPr>
      </w:pPr>
    </w:p>
    <w:p w14:paraId="51066959" w14:textId="77777777" w:rsidR="00026EAF" w:rsidRDefault="00895C99">
      <w:pPr>
        <w:pStyle w:val="BodyText"/>
        <w:spacing w:line="285" w:lineRule="auto"/>
      </w:pPr>
      <w:r>
        <w:t>As a legacy of the once gone (almost!) fortified wine era, our region is blessed with plantings of viney</w:t>
      </w:r>
      <w:r>
        <w:t>ards that are now very old and in unique ‘terroirs’. Old bush vines, this wine from a single</w:t>
      </w:r>
    </w:p>
    <w:p w14:paraId="5106695A" w14:textId="77777777" w:rsidR="00026EAF" w:rsidRDefault="00895C99">
      <w:pPr>
        <w:pStyle w:val="BodyText"/>
        <w:spacing w:line="288" w:lineRule="auto"/>
      </w:pPr>
      <w:r>
        <w:t>vineyard (over 100 years old), with tiny crops and berries are harvested by hand then crafted in our winery with minimal intervention to preserve the characters.</w:t>
      </w:r>
    </w:p>
    <w:p w14:paraId="5106695B" w14:textId="77777777" w:rsidR="00026EAF" w:rsidRDefault="00895C99">
      <w:pPr>
        <w:pStyle w:val="BodyText"/>
        <w:spacing w:before="115"/>
      </w:pPr>
      <w:r>
        <w:t>A</w:t>
      </w:r>
      <w:r>
        <w:t>fter open fermentation with a small influence of whole bunches, the wine is matured old larger</w:t>
      </w:r>
    </w:p>
    <w:p w14:paraId="5106695C" w14:textId="77777777" w:rsidR="00026EAF" w:rsidRDefault="00895C99">
      <w:pPr>
        <w:pStyle w:val="BodyText"/>
        <w:spacing w:before="44"/>
      </w:pPr>
      <w:r>
        <w:t>format French oak puncheons (500L) until final assemblage from selected barrels. Time in barrels</w:t>
      </w:r>
    </w:p>
    <w:p w14:paraId="5106695D" w14:textId="77777777" w:rsidR="00026EAF" w:rsidRDefault="00895C99">
      <w:pPr>
        <w:pStyle w:val="BodyText"/>
        <w:spacing w:before="44"/>
      </w:pPr>
      <w:r>
        <w:t>was around 20 months with a rest in tank to preserve freshness.</w:t>
      </w:r>
    </w:p>
    <w:p w14:paraId="5106695E" w14:textId="77777777" w:rsidR="00026EAF" w:rsidRDefault="00895C99">
      <w:pPr>
        <w:pStyle w:val="BodyText"/>
        <w:spacing w:before="167"/>
      </w:pPr>
      <w:r>
        <w:t>This wine is our second release and showcases the region of McLaren Vale and its old vine legacy.</w:t>
      </w:r>
    </w:p>
    <w:p w14:paraId="5106695F" w14:textId="77777777" w:rsidR="00026EAF" w:rsidRDefault="00895C99">
      <w:pPr>
        <w:pStyle w:val="BodyText"/>
        <w:spacing w:before="164" w:line="285" w:lineRule="auto"/>
        <w:ind w:right="121"/>
        <w:jc w:val="both"/>
      </w:pPr>
      <w:r>
        <w:t>With some care, decanting is recommended to allow the wine to breathe and display the interesting characters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provides.</w:t>
      </w:r>
      <w:r>
        <w:rPr>
          <w:spacing w:val="-4"/>
        </w:rPr>
        <w:t xml:space="preserve"> </w:t>
      </w:r>
      <w:r>
        <w:t>Medium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cellarin</w:t>
      </w:r>
      <w:r>
        <w:t>g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complexities</w:t>
      </w:r>
      <w:r>
        <w:rPr>
          <w:spacing w:val="-1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 will add to the interest of</w:t>
      </w:r>
      <w:r>
        <w:rPr>
          <w:spacing w:val="-2"/>
        </w:rPr>
        <w:t xml:space="preserve"> </w:t>
      </w:r>
      <w:r>
        <w:t>Grenache.</w:t>
      </w:r>
    </w:p>
    <w:p w14:paraId="51066960" w14:textId="77777777" w:rsidR="00026EAF" w:rsidRDefault="00026EAF">
      <w:pPr>
        <w:pStyle w:val="BodyText"/>
        <w:spacing w:before="11"/>
        <w:ind w:left="0"/>
      </w:pPr>
    </w:p>
    <w:p w14:paraId="51066961" w14:textId="77777777" w:rsidR="00026EAF" w:rsidRDefault="00895C99">
      <w:pPr>
        <w:ind w:left="2772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Tasting Note—DIAM CORK</w:t>
      </w:r>
    </w:p>
    <w:p w14:paraId="51066962" w14:textId="77777777" w:rsidR="00026EAF" w:rsidRDefault="00895C99">
      <w:pPr>
        <w:pStyle w:val="BodyText"/>
        <w:tabs>
          <w:tab w:val="left" w:pos="4212"/>
        </w:tabs>
        <w:spacing w:before="164"/>
      </w:pPr>
      <w:r>
        <w:rPr>
          <w:b/>
        </w:rPr>
        <w:t>Colour:</w:t>
      </w:r>
      <w:r>
        <w:rPr>
          <w:b/>
        </w:rPr>
        <w:tab/>
      </w:r>
      <w:r>
        <w:t>Deep red magenta with a brick red, light purple</w:t>
      </w:r>
      <w:r>
        <w:rPr>
          <w:spacing w:val="-3"/>
        </w:rPr>
        <w:t xml:space="preserve"> </w:t>
      </w:r>
      <w:r>
        <w:t>hue.</w:t>
      </w:r>
    </w:p>
    <w:p w14:paraId="51066963" w14:textId="77777777" w:rsidR="00026EAF" w:rsidRDefault="00895C99">
      <w:pPr>
        <w:pStyle w:val="BodyText"/>
        <w:tabs>
          <w:tab w:val="left" w:pos="4212"/>
        </w:tabs>
        <w:spacing w:before="166" w:line="285" w:lineRule="auto"/>
        <w:ind w:left="4212" w:right="244" w:hanging="1440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1066973" wp14:editId="51066974">
            <wp:simplePos x="0" y="0"/>
            <wp:positionH relativeFrom="page">
              <wp:posOffset>108642</wp:posOffset>
            </wp:positionH>
            <wp:positionV relativeFrom="paragraph">
              <wp:posOffset>535990</wp:posOffset>
            </wp:positionV>
            <wp:extent cx="1515140" cy="267204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140" cy="2672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Nose:</w:t>
      </w:r>
      <w:r>
        <w:rPr>
          <w:b/>
        </w:rPr>
        <w:tab/>
      </w:r>
      <w:r>
        <w:t>Ripe and fleshy invoking memories of Turkish delight, pot pourri and underlying ras</w:t>
      </w:r>
      <w:r>
        <w:t>pberry</w:t>
      </w:r>
      <w:r>
        <w:rPr>
          <w:spacing w:val="-4"/>
        </w:rPr>
        <w:t xml:space="preserve"> </w:t>
      </w:r>
      <w:r>
        <w:t>fruit</w:t>
      </w:r>
      <w:r>
        <w:rPr>
          <w:spacing w:val="-2"/>
        </w:rPr>
        <w:t xml:space="preserve"> </w:t>
      </w:r>
      <w:r>
        <w:t>notes.</w:t>
      </w:r>
      <w:r>
        <w:rPr>
          <w:spacing w:val="-3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oak</w:t>
      </w:r>
      <w:r>
        <w:rPr>
          <w:spacing w:val="-2"/>
        </w:rPr>
        <w:t xml:space="preserve"> </w:t>
      </w:r>
      <w:r>
        <w:t>maturation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cedar</w:t>
      </w:r>
      <w:r>
        <w:rPr>
          <w:spacing w:val="-3"/>
        </w:rPr>
        <w:t xml:space="preserve"> </w:t>
      </w:r>
      <w:r>
        <w:t>oak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but shows remarkable</w:t>
      </w:r>
      <w:r>
        <w:rPr>
          <w:spacing w:val="-4"/>
        </w:rPr>
        <w:t xml:space="preserve"> </w:t>
      </w:r>
      <w:r>
        <w:t>freshness.</w:t>
      </w:r>
    </w:p>
    <w:p w14:paraId="51066964" w14:textId="77777777" w:rsidR="00026EAF" w:rsidRDefault="00895C99">
      <w:pPr>
        <w:pStyle w:val="BodyText"/>
        <w:tabs>
          <w:tab w:val="left" w:pos="4212"/>
        </w:tabs>
        <w:spacing w:before="119" w:line="288" w:lineRule="auto"/>
        <w:ind w:left="4212" w:right="105" w:hanging="1440"/>
        <w:jc w:val="both"/>
      </w:pPr>
      <w:r>
        <w:rPr>
          <w:b/>
        </w:rPr>
        <w:t>Palate:</w:t>
      </w:r>
      <w:r>
        <w:rPr>
          <w:b/>
        </w:rPr>
        <w:tab/>
      </w:r>
      <w:r>
        <w:t>A</w:t>
      </w:r>
      <w:r>
        <w:rPr>
          <w:spacing w:val="-4"/>
        </w:rPr>
        <w:t xml:space="preserve"> </w:t>
      </w:r>
      <w:r>
        <w:t>firm,</w:t>
      </w:r>
      <w:r>
        <w:rPr>
          <w:spacing w:val="-4"/>
        </w:rPr>
        <w:t xml:space="preserve"> </w:t>
      </w:r>
      <w:r>
        <w:t>tannic</w:t>
      </w:r>
      <w:r>
        <w:rPr>
          <w:spacing w:val="-4"/>
        </w:rPr>
        <w:t xml:space="preserve"> </w:t>
      </w:r>
      <w:r>
        <w:t>palate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drying</w:t>
      </w:r>
      <w:r>
        <w:rPr>
          <w:spacing w:val="-4"/>
        </w:rPr>
        <w:t xml:space="preserve"> </w:t>
      </w:r>
      <w:r>
        <w:t>oak</w:t>
      </w:r>
      <w:r>
        <w:rPr>
          <w:spacing w:val="-3"/>
        </w:rPr>
        <w:t xml:space="preserve"> </w:t>
      </w:r>
      <w:r>
        <w:t>complexity.</w:t>
      </w:r>
      <w:r>
        <w:rPr>
          <w:spacing w:val="-2"/>
        </w:rPr>
        <w:t xml:space="preserve"> </w:t>
      </w:r>
      <w:r>
        <w:t>Quite</w:t>
      </w:r>
      <w:r>
        <w:rPr>
          <w:spacing w:val="-3"/>
        </w:rPr>
        <w:t xml:space="preserve"> </w:t>
      </w:r>
      <w:r>
        <w:t>fruity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integration and a long crisp finish and excellent length of flavour persistence. A hint of</w:t>
      </w:r>
      <w:r>
        <w:rPr>
          <w:spacing w:val="-25"/>
        </w:rPr>
        <w:t xml:space="preserve"> </w:t>
      </w:r>
      <w:r>
        <w:t>dark</w:t>
      </w:r>
    </w:p>
    <w:p w14:paraId="51066965" w14:textId="77777777" w:rsidR="00026EAF" w:rsidRDefault="00895C99">
      <w:pPr>
        <w:pStyle w:val="BodyText"/>
        <w:spacing w:line="231" w:lineRule="exact"/>
        <w:ind w:left="4212"/>
        <w:jc w:val="both"/>
      </w:pPr>
      <w:r>
        <w:t>chocolate bitterness adds complexity.</w:t>
      </w:r>
    </w:p>
    <w:p w14:paraId="51066966" w14:textId="77777777" w:rsidR="00026EAF" w:rsidRDefault="00895C99">
      <w:pPr>
        <w:pStyle w:val="BodyText"/>
        <w:tabs>
          <w:tab w:val="left" w:pos="4212"/>
        </w:tabs>
        <w:spacing w:before="164" w:line="285" w:lineRule="auto"/>
        <w:ind w:left="4212" w:right="38" w:hanging="1440"/>
        <w:jc w:val="both"/>
      </w:pPr>
      <w:r>
        <w:rPr>
          <w:b/>
        </w:rPr>
        <w:t>Potential:</w:t>
      </w:r>
      <w:r>
        <w:rPr>
          <w:b/>
        </w:rPr>
        <w:tab/>
      </w:r>
      <w:r>
        <w:t>This</w:t>
      </w:r>
      <w:r>
        <w:rPr>
          <w:spacing w:val="-4"/>
        </w:rPr>
        <w:t xml:space="preserve"> </w:t>
      </w:r>
      <w:r>
        <w:t>vintage</w:t>
      </w:r>
      <w:r>
        <w:rPr>
          <w:spacing w:val="-5"/>
        </w:rPr>
        <w:t xml:space="preserve"> </w:t>
      </w:r>
      <w:r>
        <w:t>has produced</w:t>
      </w:r>
      <w:r>
        <w:rPr>
          <w:spacing w:val="-1"/>
        </w:rPr>
        <w:t xml:space="preserve"> </w:t>
      </w:r>
      <w:r>
        <w:t>a wine</w:t>
      </w:r>
      <w:r>
        <w:rPr>
          <w:spacing w:val="-3"/>
        </w:rPr>
        <w:t xml:space="preserve"> </w:t>
      </w:r>
      <w:r>
        <w:t>worthy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medium</w:t>
      </w:r>
      <w:r>
        <w:rPr>
          <w:spacing w:val="-4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cellaring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the lower</w:t>
      </w:r>
      <w:r>
        <w:rPr>
          <w:spacing w:val="-5"/>
        </w:rPr>
        <w:t xml:space="preserve"> </w:t>
      </w:r>
      <w:r>
        <w:t>pH.</w:t>
      </w:r>
    </w:p>
    <w:p w14:paraId="51066967" w14:textId="77777777" w:rsidR="00026EAF" w:rsidRDefault="00895C99">
      <w:pPr>
        <w:pStyle w:val="BodyText"/>
        <w:tabs>
          <w:tab w:val="left" w:pos="4209"/>
        </w:tabs>
        <w:spacing w:before="121"/>
      </w:pPr>
      <w:r>
        <w:rPr>
          <w:b/>
        </w:rPr>
        <w:t>Foods:</w:t>
      </w:r>
      <w:r>
        <w:rPr>
          <w:b/>
        </w:rPr>
        <w:tab/>
      </w:r>
      <w:r>
        <w:t>Cassoul</w:t>
      </w:r>
      <w:r>
        <w:t>et or deep fried zucchini flowers filled with</w:t>
      </w:r>
      <w:r>
        <w:rPr>
          <w:spacing w:val="-5"/>
        </w:rPr>
        <w:t xml:space="preserve"> </w:t>
      </w:r>
      <w:r>
        <w:t>ricotta.</w:t>
      </w:r>
    </w:p>
    <w:p w14:paraId="51066968" w14:textId="77777777" w:rsidR="00026EAF" w:rsidRDefault="00895C99">
      <w:pPr>
        <w:pStyle w:val="BodyText"/>
        <w:tabs>
          <w:tab w:val="left" w:pos="4212"/>
        </w:tabs>
        <w:spacing w:before="164"/>
      </w:pPr>
      <w:r>
        <w:rPr>
          <w:b/>
        </w:rPr>
        <w:t>Technical:</w:t>
      </w:r>
      <w:r>
        <w:rPr>
          <w:b/>
        </w:rPr>
        <w:tab/>
      </w:r>
      <w:r>
        <w:t>Bottled May, 2017 with DIAM. Alcohol 14.0%, pH 3.47, TA</w:t>
      </w:r>
      <w:r>
        <w:rPr>
          <w:spacing w:val="-4"/>
        </w:rPr>
        <w:t xml:space="preserve"> </w:t>
      </w:r>
      <w:r>
        <w:t>5.7</w:t>
      </w:r>
    </w:p>
    <w:p w14:paraId="51066969" w14:textId="77777777" w:rsidR="00026EAF" w:rsidRDefault="00895C99">
      <w:pPr>
        <w:pStyle w:val="BodyText"/>
        <w:tabs>
          <w:tab w:val="left" w:pos="4212"/>
        </w:tabs>
        <w:spacing w:before="164"/>
      </w:pPr>
      <w:r>
        <w:rPr>
          <w:b/>
        </w:rPr>
        <w:t>Vintage:</w:t>
      </w:r>
      <w:r>
        <w:rPr>
          <w:b/>
        </w:rPr>
        <w:tab/>
      </w:r>
      <w:r>
        <w:t>2016 was a warm season with little rain. A high quality vintage with low</w:t>
      </w:r>
      <w:r>
        <w:rPr>
          <w:spacing w:val="-19"/>
        </w:rPr>
        <w:t xml:space="preserve"> </w:t>
      </w:r>
      <w:r>
        <w:t>yields.</w:t>
      </w:r>
    </w:p>
    <w:p w14:paraId="5106696A" w14:textId="77777777" w:rsidR="00026EAF" w:rsidRDefault="00895C99">
      <w:pPr>
        <w:tabs>
          <w:tab w:val="left" w:pos="4207"/>
        </w:tabs>
        <w:spacing w:before="164"/>
        <w:ind w:left="2772"/>
        <w:rPr>
          <w:sz w:val="20"/>
        </w:rPr>
      </w:pPr>
      <w:r>
        <w:rPr>
          <w:b/>
          <w:sz w:val="20"/>
        </w:rPr>
        <w:t>Winemaking</w:t>
      </w:r>
      <w:r>
        <w:rPr>
          <w:b/>
          <w:sz w:val="20"/>
        </w:rPr>
        <w:tab/>
      </w:r>
      <w:r>
        <w:rPr>
          <w:sz w:val="20"/>
        </w:rPr>
        <w:t>Nick</w:t>
      </w:r>
      <w:r>
        <w:rPr>
          <w:spacing w:val="-1"/>
          <w:sz w:val="20"/>
        </w:rPr>
        <w:t xml:space="preserve"> </w:t>
      </w:r>
      <w:r>
        <w:rPr>
          <w:sz w:val="20"/>
        </w:rPr>
        <w:t>Haselgrove</w:t>
      </w:r>
    </w:p>
    <w:p w14:paraId="5106696B" w14:textId="77777777" w:rsidR="00026EAF" w:rsidRDefault="00895C99">
      <w:pPr>
        <w:spacing w:before="82"/>
        <w:ind w:left="111" w:firstLine="168"/>
        <w:rPr>
          <w:b/>
          <w:sz w:val="72"/>
        </w:rPr>
      </w:pPr>
      <w:r>
        <w:br w:type="column"/>
      </w:r>
      <w:r>
        <w:rPr>
          <w:b/>
          <w:sz w:val="72"/>
        </w:rPr>
        <w:t>Old Vine Grenache</w:t>
      </w:r>
    </w:p>
    <w:p w14:paraId="5106696C" w14:textId="77777777" w:rsidR="00026EAF" w:rsidRDefault="00895C99">
      <w:pPr>
        <w:spacing w:before="119"/>
        <w:ind w:left="397" w:right="195"/>
        <w:jc w:val="center"/>
        <w:rPr>
          <w:b/>
          <w:sz w:val="44"/>
        </w:rPr>
      </w:pPr>
      <w:r>
        <w:rPr>
          <w:b/>
          <w:sz w:val="44"/>
        </w:rPr>
        <w:t>McLaren Vale</w:t>
      </w:r>
    </w:p>
    <w:p w14:paraId="5106696E" w14:textId="22DCBFF1" w:rsidR="00026EAF" w:rsidRPr="00895C99" w:rsidRDefault="00895C99" w:rsidP="00895C99">
      <w:pPr>
        <w:spacing w:before="121"/>
        <w:ind w:left="290" w:right="195"/>
        <w:jc w:val="center"/>
        <w:rPr>
          <w:b/>
          <w:sz w:val="48"/>
        </w:rPr>
        <w:sectPr w:rsidR="00026EAF" w:rsidRPr="00895C99">
          <w:type w:val="continuous"/>
          <w:pgSz w:w="16840" w:h="11910" w:orient="landscape"/>
          <w:pgMar w:top="540" w:right="1460" w:bottom="0" w:left="60" w:header="720" w:footer="720" w:gutter="0"/>
          <w:cols w:num="2" w:space="720" w:equalWidth="0">
            <w:col w:w="11412" w:space="536"/>
            <w:col w:w="3372"/>
          </w:cols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1066975" wp14:editId="51066976">
            <wp:simplePos x="0" y="0"/>
            <wp:positionH relativeFrom="page">
              <wp:posOffset>8100267</wp:posOffset>
            </wp:positionH>
            <wp:positionV relativeFrom="paragraph">
              <wp:posOffset>551744</wp:posOffset>
            </wp:positionV>
            <wp:extent cx="1355498" cy="471054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498" cy="4710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5106696F" w14:textId="77777777" w:rsidR="00026EAF" w:rsidRDefault="00026EAF">
      <w:pPr>
        <w:pStyle w:val="BodyText"/>
        <w:spacing w:before="3"/>
        <w:ind w:left="0"/>
        <w:rPr>
          <w:b/>
          <w:sz w:val="16"/>
        </w:rPr>
      </w:pPr>
    </w:p>
    <w:p w14:paraId="51066970" w14:textId="77777777" w:rsidR="00026EAF" w:rsidRDefault="00895C99">
      <w:pPr>
        <w:pStyle w:val="BodyText"/>
        <w:ind w:left="7533"/>
      </w:pPr>
      <w:r>
        <w:rPr>
          <w:noProof/>
        </w:rPr>
        <w:drawing>
          <wp:inline distT="0" distB="0" distL="0" distR="0" wp14:anchorId="51066977" wp14:editId="51066978">
            <wp:extent cx="761988" cy="7620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88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6EAF">
      <w:type w:val="continuous"/>
      <w:pgSz w:w="16840" w:h="11910" w:orient="landscape"/>
      <w:pgMar w:top="540" w:right="146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EAF"/>
    <w:rsid w:val="00026EAF"/>
    <w:rsid w:val="0089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6955"/>
  <w15:docId w15:val="{44739D31-F36E-40CA-AABD-0FED1EFC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7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</dc:creator>
  <cp:lastModifiedBy>Leonardo Ludert</cp:lastModifiedBy>
  <cp:revision>2</cp:revision>
  <dcterms:created xsi:type="dcterms:W3CDTF">2020-02-11T20:40:00Z</dcterms:created>
  <dcterms:modified xsi:type="dcterms:W3CDTF">2020-02-11T20:40:00Z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2020-02-11T00:00:00Z</vt:filetime>
  </property>
</Properties>
</file>